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73084" w14:textId="77777777" w:rsidR="001D211F" w:rsidRPr="001D211F" w:rsidRDefault="001D211F" w:rsidP="001D211F">
      <w:pPr>
        <w:rPr>
          <w:rFonts w:asciiTheme="majorBidi" w:hAnsiTheme="majorBidi" w:cstheme="majorBidi"/>
          <w:sz w:val="22"/>
        </w:rPr>
      </w:pPr>
    </w:p>
    <w:p w14:paraId="5A5BE8C3" w14:textId="77777777" w:rsidR="006E3302" w:rsidRPr="006E3302" w:rsidRDefault="006E3302" w:rsidP="001D211F">
      <w:pPr>
        <w:rPr>
          <w:rFonts w:asciiTheme="majorBidi" w:hAnsiTheme="majorBidi" w:cstheme="majorBidi"/>
          <w:b/>
          <w:sz w:val="28"/>
          <w:szCs w:val="28"/>
        </w:rPr>
      </w:pPr>
      <w:r w:rsidRPr="006E3302">
        <w:rPr>
          <w:rFonts w:asciiTheme="majorBidi" w:hAnsiTheme="majorBidi" w:cstheme="majorBidi"/>
          <w:b/>
          <w:sz w:val="28"/>
          <w:szCs w:val="28"/>
        </w:rPr>
        <w:t>Titans of Private Credit: How Visionary Leaders Built a $2 Trillion Powerhouse</w:t>
      </w:r>
    </w:p>
    <w:p w14:paraId="1D55CDD5" w14:textId="77777777" w:rsidR="006E3302" w:rsidRDefault="006E3302" w:rsidP="001D211F">
      <w:pPr>
        <w:rPr>
          <w:rFonts w:asciiTheme="majorBidi" w:hAnsiTheme="majorBidi" w:cstheme="majorBidi"/>
          <w:b/>
          <w:sz w:val="22"/>
        </w:rPr>
      </w:pPr>
    </w:p>
    <w:p w14:paraId="4F29E1AE" w14:textId="01A3BC18"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The private credit industry has undergone remarkable transformation over the past two decades, evolving from a niche financing alternative to a cornerstone of modern capital markets. With assets under management approaching $2 trillion globally, this sector has produced a generation of visionary leaders whose strategic acumen and operational excellence have redefined corporate lending</w:t>
      </w:r>
      <w:bookmarkStart w:id="0" w:name="fnref1"/>
      <w:bookmarkStart w:id="1" w:name="fnref2"/>
      <w:bookmarkEnd w:id="0"/>
      <w:bookmarkEnd w:id="1"/>
      <w:r w:rsidRPr="001D211F">
        <w:rPr>
          <w:rFonts w:asciiTheme="majorBidi" w:hAnsiTheme="majorBidi" w:cstheme="majorBidi"/>
          <w:sz w:val="22"/>
        </w:rPr>
        <w:t>. As the industry stands at an inflection point, understanding the architects behind this success</w:t>
      </w:r>
      <w:r w:rsidR="006E3302">
        <w:rPr>
          <w:rFonts w:asciiTheme="majorBidi" w:hAnsiTheme="majorBidi" w:cstheme="majorBidi"/>
          <w:sz w:val="22"/>
        </w:rPr>
        <w:t xml:space="preserve">, </w:t>
      </w:r>
      <w:r w:rsidRPr="001D211F">
        <w:rPr>
          <w:rFonts w:asciiTheme="majorBidi" w:hAnsiTheme="majorBidi" w:cstheme="majorBidi"/>
          <w:sz w:val="22"/>
        </w:rPr>
        <w:t>and the challenges they face</w:t>
      </w:r>
      <w:r w:rsidR="006E3302">
        <w:rPr>
          <w:rFonts w:asciiTheme="majorBidi" w:hAnsiTheme="majorBidi" w:cstheme="majorBidi"/>
          <w:sz w:val="22"/>
        </w:rPr>
        <w:t xml:space="preserve">, </w:t>
      </w:r>
      <w:r w:rsidRPr="001D211F">
        <w:rPr>
          <w:rFonts w:asciiTheme="majorBidi" w:hAnsiTheme="majorBidi" w:cstheme="majorBidi"/>
          <w:sz w:val="22"/>
        </w:rPr>
        <w:t>offers crucial insights into the future of private capital.</w:t>
      </w:r>
    </w:p>
    <w:p w14:paraId="3A78A25C" w14:textId="77777777" w:rsidR="001D211F" w:rsidRDefault="001D211F" w:rsidP="001D211F">
      <w:pPr>
        <w:rPr>
          <w:rFonts w:asciiTheme="majorBidi" w:hAnsiTheme="majorBidi" w:cstheme="majorBidi"/>
          <w:b/>
          <w:sz w:val="22"/>
        </w:rPr>
      </w:pPr>
    </w:p>
    <w:p w14:paraId="3FC593D0" w14:textId="507840A5" w:rsidR="001D211F" w:rsidRDefault="001D211F" w:rsidP="001D211F">
      <w:pPr>
        <w:rPr>
          <w:rFonts w:asciiTheme="majorBidi" w:hAnsiTheme="majorBidi" w:cstheme="majorBidi"/>
          <w:b/>
          <w:sz w:val="22"/>
        </w:rPr>
      </w:pPr>
      <w:r>
        <w:rPr>
          <w:noProof/>
        </w:rPr>
        <w:drawing>
          <wp:inline distT="0" distB="0" distL="0" distR="0" wp14:anchorId="4FF31F77" wp14:editId="1804FFC3">
            <wp:extent cx="6038850" cy="6038850"/>
            <wp:effectExtent l="0" t="0" r="0" b="0"/>
            <wp:docPr id="2113573067" name="Picture 1" descr="Howard Marks, Marc Rowan, David Golub, and Armen Panossian depicted as leaders in the private credit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ard Marks, Marc Rowan, David Golub, and Armen Panossian depicted as leaders in the private credit indus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p w14:paraId="1DC7B0E1" w14:textId="77777777" w:rsidR="001D211F" w:rsidRDefault="001D211F" w:rsidP="001D211F">
      <w:pPr>
        <w:rPr>
          <w:rFonts w:asciiTheme="majorBidi" w:hAnsiTheme="majorBidi" w:cstheme="majorBidi"/>
          <w:b/>
          <w:sz w:val="22"/>
        </w:rPr>
      </w:pPr>
    </w:p>
    <w:p w14:paraId="7FFCE296" w14:textId="77777777" w:rsidR="001D211F" w:rsidRDefault="001D211F" w:rsidP="001D211F">
      <w:pPr>
        <w:rPr>
          <w:rFonts w:asciiTheme="majorBidi" w:hAnsiTheme="majorBidi" w:cstheme="majorBidi"/>
          <w:b/>
          <w:sz w:val="22"/>
        </w:rPr>
      </w:pPr>
    </w:p>
    <w:p w14:paraId="14C3AFD3" w14:textId="10D96B7A" w:rsidR="001D211F" w:rsidRPr="001D211F" w:rsidRDefault="001D211F" w:rsidP="001D211F">
      <w:pPr>
        <w:rPr>
          <w:rFonts w:asciiTheme="majorBidi" w:hAnsiTheme="majorBidi" w:cstheme="majorBidi"/>
          <w:sz w:val="24"/>
          <w:szCs w:val="24"/>
        </w:rPr>
      </w:pPr>
      <w:r w:rsidRPr="001D211F">
        <w:rPr>
          <w:rFonts w:asciiTheme="majorBidi" w:hAnsiTheme="majorBidi" w:cstheme="majorBidi"/>
          <w:b/>
          <w:sz w:val="24"/>
          <w:szCs w:val="24"/>
        </w:rPr>
        <w:t>The Titans of Private Credit</w:t>
      </w:r>
    </w:p>
    <w:p w14:paraId="323CDC70"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b/>
          <w:sz w:val="22"/>
        </w:rPr>
        <w:t>Howard Marks: The Philosopher of Risk-Controlled Investing</w:t>
      </w:r>
    </w:p>
    <w:p w14:paraId="63E183A9"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At the helm of Oaktree Capital Management, Howard Marks has emerged as one of the most influential voices in private credit. Co-founding Oaktree in 1995, Marks has built the firm into a $180 billion powerhouse through his distinctive investment philosophy centered on six core tenets: risk control, consistency, market inefficiency exploitation, specialization, bottom-up analysis, and the disavowal of market timing</w:t>
      </w:r>
      <w:bookmarkStart w:id="2" w:name="fnref3"/>
      <w:bookmarkEnd w:id="2"/>
      <w:r w:rsidRPr="001D211F">
        <w:rPr>
          <w:rFonts w:asciiTheme="majorBidi" w:hAnsiTheme="majorBidi" w:cstheme="majorBidi"/>
          <w:sz w:val="22"/>
        </w:rPr>
        <w:t>.</w:t>
      </w:r>
    </w:p>
    <w:p w14:paraId="5D84D577"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 xml:space="preserve">Marks' approach to private credit emphasizes </w:t>
      </w:r>
      <w:r w:rsidRPr="001D211F">
        <w:rPr>
          <w:rFonts w:asciiTheme="majorBidi" w:hAnsiTheme="majorBidi" w:cstheme="majorBidi"/>
          <w:b/>
          <w:sz w:val="22"/>
        </w:rPr>
        <w:t>downside protection</w:t>
      </w:r>
      <w:r w:rsidRPr="001D211F">
        <w:rPr>
          <w:rFonts w:asciiTheme="majorBidi" w:hAnsiTheme="majorBidi" w:cstheme="majorBidi"/>
          <w:sz w:val="22"/>
        </w:rPr>
        <w:t xml:space="preserve"> above all else. "If we avoid the losers, the winners will take care of themselves," exemplifies his philosophy that has guided Oaktree through multiple market cycles</w:t>
      </w:r>
      <w:bookmarkStart w:id="3" w:name="fnref3:1"/>
      <w:bookmarkEnd w:id="3"/>
      <w:r w:rsidRPr="001D211F">
        <w:rPr>
          <w:rFonts w:asciiTheme="majorBidi" w:hAnsiTheme="majorBidi" w:cstheme="majorBidi"/>
          <w:sz w:val="22"/>
        </w:rPr>
        <w:t>. His legendary client memos, eagerly awaited by Warren Buffett and institutional investors worldwide, demonstrate a deep understanding of market psychology and cycle timing that has become integral to Oaktree's credit strategies</w:t>
      </w:r>
      <w:bookmarkStart w:id="4" w:name="fnref5"/>
      <w:bookmarkEnd w:id="4"/>
      <w:r w:rsidRPr="001D211F">
        <w:rPr>
          <w:rFonts w:asciiTheme="majorBidi" w:hAnsiTheme="majorBidi" w:cstheme="majorBidi"/>
          <w:sz w:val="22"/>
        </w:rPr>
        <w:t>.</w:t>
      </w:r>
    </w:p>
    <w:p w14:paraId="4BFE25B9"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b/>
          <w:sz w:val="22"/>
        </w:rPr>
        <w:t>Marc Rowan: The Strategic Visionary Behind Apollo's Expansion</w:t>
      </w:r>
    </w:p>
    <w:p w14:paraId="6FFA0ED5"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Marc Rowan's leadership at Apollo Global Management represents perhaps the most aggressive and successful expansion strategy in private credit history. Under his guidance, Apollo has positioned itself to potentially reach $2.6 trillion in assets under management, with private credit forming a substantial portion of this growth</w:t>
      </w:r>
      <w:bookmarkStart w:id="5" w:name="fnref6"/>
      <w:bookmarkEnd w:id="5"/>
      <w:r w:rsidRPr="001D211F">
        <w:rPr>
          <w:rFonts w:asciiTheme="majorBidi" w:hAnsiTheme="majorBidi" w:cstheme="majorBidi"/>
          <w:sz w:val="22"/>
        </w:rPr>
        <w:t>.</w:t>
      </w:r>
    </w:p>
    <w:p w14:paraId="6717FF68"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 xml:space="preserve">Rowan's recipe for success centers on </w:t>
      </w:r>
      <w:r w:rsidRPr="001D211F">
        <w:rPr>
          <w:rFonts w:asciiTheme="majorBidi" w:hAnsiTheme="majorBidi" w:cstheme="majorBidi"/>
          <w:b/>
          <w:sz w:val="22"/>
        </w:rPr>
        <w:t>organizational momentum</w:t>
      </w:r>
      <w:r w:rsidRPr="001D211F">
        <w:rPr>
          <w:rFonts w:asciiTheme="majorBidi" w:hAnsiTheme="majorBidi" w:cstheme="majorBidi"/>
          <w:sz w:val="22"/>
        </w:rPr>
        <w:t xml:space="preserve"> and adaptability. "If it has momentum, it overcomes every obstacle," he emphasizes, describing how Apollo's culture of continuous innovation has allowed the firm to stay ahead of market trends</w:t>
      </w:r>
      <w:bookmarkStart w:id="6" w:name="fnref8"/>
      <w:bookmarkEnd w:id="6"/>
      <w:r w:rsidRPr="001D211F">
        <w:rPr>
          <w:rFonts w:asciiTheme="majorBidi" w:hAnsiTheme="majorBidi" w:cstheme="majorBidi"/>
          <w:sz w:val="22"/>
        </w:rPr>
        <w:t>. His strategic partnerships with insurance companies through Athene, and the firm's focus on asset-backed lending, have created a differentiated approach that generates consistent returns while managing liquidity risk</w:t>
      </w:r>
      <w:bookmarkStart w:id="7" w:name="fnref7:1"/>
      <w:bookmarkEnd w:id="7"/>
      <w:r w:rsidRPr="001D211F">
        <w:rPr>
          <w:rFonts w:asciiTheme="majorBidi" w:hAnsiTheme="majorBidi" w:cstheme="majorBidi"/>
          <w:sz w:val="22"/>
        </w:rPr>
        <w:t>.</w:t>
      </w:r>
    </w:p>
    <w:p w14:paraId="1EAE26B4"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b/>
          <w:sz w:val="22"/>
        </w:rPr>
        <w:t>David Golub: The Architect of Middle-Market Consistency</w:t>
      </w:r>
    </w:p>
    <w:p w14:paraId="1A0F8CC7"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 xml:space="preserve">As President of Golub Capital, David Golub has built one of the most consistent track records in private credit. Founded over 30 years ago, Golub Capital has </w:t>
      </w:r>
      <w:proofErr w:type="gramStart"/>
      <w:r w:rsidRPr="001D211F">
        <w:rPr>
          <w:rFonts w:asciiTheme="majorBidi" w:hAnsiTheme="majorBidi" w:cstheme="majorBidi"/>
          <w:sz w:val="22"/>
        </w:rPr>
        <w:t>originated</w:t>
      </w:r>
      <w:proofErr w:type="gramEnd"/>
      <w:r w:rsidRPr="001D211F">
        <w:rPr>
          <w:rFonts w:asciiTheme="majorBidi" w:hAnsiTheme="majorBidi" w:cstheme="majorBidi"/>
          <w:sz w:val="22"/>
        </w:rPr>
        <w:t xml:space="preserve"> over $150 billion in loans while maintaining remarkably low default rates—a testament to their disciplined approach to credit selection and risk management</w:t>
      </w:r>
      <w:bookmarkStart w:id="8" w:name="fnref9"/>
      <w:bookmarkStart w:id="9" w:name="fnref10"/>
      <w:bookmarkEnd w:id="8"/>
      <w:bookmarkEnd w:id="9"/>
      <w:r w:rsidRPr="001D211F">
        <w:rPr>
          <w:rFonts w:asciiTheme="majorBidi" w:hAnsiTheme="majorBidi" w:cstheme="majorBidi"/>
          <w:sz w:val="22"/>
        </w:rPr>
        <w:t>.</w:t>
      </w:r>
    </w:p>
    <w:p w14:paraId="61986969"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 xml:space="preserve">Golub's success stems from his focus on </w:t>
      </w:r>
      <w:r w:rsidRPr="001D211F">
        <w:rPr>
          <w:rFonts w:asciiTheme="majorBidi" w:hAnsiTheme="majorBidi" w:cstheme="majorBidi"/>
          <w:b/>
          <w:sz w:val="22"/>
        </w:rPr>
        <w:t>relationship-driven origination</w:t>
      </w:r>
      <w:r w:rsidRPr="001D211F">
        <w:rPr>
          <w:rFonts w:asciiTheme="majorBidi" w:hAnsiTheme="majorBidi" w:cstheme="majorBidi"/>
          <w:sz w:val="22"/>
        </w:rPr>
        <w:t xml:space="preserve"> and cultural excellence. The firm's emphasis on "good boring" results reflects a deliberate strategy of consistency over flashiness, resulting in zero new payment defaults in 2023 and an 18-year track record of annual default rates meaningfully below the broadly syndicated loan index</w:t>
      </w:r>
      <w:bookmarkStart w:id="10" w:name="fnref10:1"/>
      <w:bookmarkStart w:id="11" w:name="fnref11"/>
      <w:bookmarkEnd w:id="10"/>
      <w:bookmarkEnd w:id="11"/>
      <w:r w:rsidRPr="001D211F">
        <w:rPr>
          <w:rFonts w:asciiTheme="majorBidi" w:hAnsiTheme="majorBidi" w:cstheme="majorBidi"/>
          <w:sz w:val="22"/>
        </w:rPr>
        <w:t>.</w:t>
      </w:r>
    </w:p>
    <w:p w14:paraId="2F10C70C"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b/>
          <w:sz w:val="22"/>
        </w:rPr>
        <w:t>Armen Panossian: The Operational Excellence Leader</w:t>
      </w:r>
    </w:p>
    <w:p w14:paraId="31B0F266"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Leading Oaktree's direct lending strategy, Armen Panossian has overseen the firm's expansion in private credit markets. Under his guidance, Oaktree's Strategic Credit group has grown to encompass approximately 40 investment professionals focused on middle-market lending, emphasizing first-lien senior secured loans with strong structural protections</w:t>
      </w:r>
      <w:bookmarkStart w:id="12" w:name="fnref3:2"/>
      <w:bookmarkStart w:id="13" w:name="fnref12"/>
      <w:bookmarkEnd w:id="12"/>
      <w:bookmarkEnd w:id="13"/>
      <w:r w:rsidRPr="001D211F">
        <w:rPr>
          <w:rFonts w:asciiTheme="majorBidi" w:hAnsiTheme="majorBidi" w:cstheme="majorBidi"/>
          <w:sz w:val="22"/>
        </w:rPr>
        <w:t>.</w:t>
      </w:r>
    </w:p>
    <w:p w14:paraId="6C500121" w14:textId="77777777" w:rsidR="001D211F" w:rsidRPr="001D211F" w:rsidRDefault="001D211F" w:rsidP="001D211F">
      <w:pPr>
        <w:rPr>
          <w:rFonts w:asciiTheme="majorBidi" w:hAnsiTheme="majorBidi" w:cstheme="majorBidi"/>
          <w:b/>
          <w:bCs/>
          <w:sz w:val="24"/>
          <w:szCs w:val="24"/>
          <w:lang w:val="en-AE"/>
        </w:rPr>
      </w:pPr>
      <w:r w:rsidRPr="001D211F">
        <w:rPr>
          <w:rFonts w:asciiTheme="majorBidi" w:hAnsiTheme="majorBidi" w:cstheme="majorBidi"/>
          <w:b/>
          <w:bCs/>
          <w:sz w:val="24"/>
          <w:szCs w:val="24"/>
          <w:lang w:val="en-AE"/>
        </w:rPr>
        <w:t>The Winning Formula: How Private Credit Titans Stay Ahead</w:t>
      </w:r>
    </w:p>
    <w:p w14:paraId="5448332B"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What separates the $2 trillion private credit industry's elite from the rest? It's not just capital or connections—it's a relentless focus on three fundamental principles that have proven unshakeable across market cycles.</w:t>
      </w:r>
    </w:p>
    <w:p w14:paraId="70DFCCEA" w14:textId="77777777" w:rsidR="001D211F" w:rsidRPr="001D211F" w:rsidRDefault="001D211F" w:rsidP="001D211F">
      <w:pPr>
        <w:rPr>
          <w:rFonts w:asciiTheme="majorBidi" w:hAnsiTheme="majorBidi" w:cstheme="majorBidi"/>
          <w:b/>
          <w:bCs/>
          <w:sz w:val="24"/>
          <w:szCs w:val="24"/>
          <w:lang w:val="en-AE"/>
        </w:rPr>
      </w:pPr>
      <w:r w:rsidRPr="001D211F">
        <w:rPr>
          <w:rFonts w:asciiTheme="majorBidi" w:hAnsiTheme="majorBidi" w:cstheme="majorBidi"/>
          <w:b/>
          <w:bCs/>
          <w:sz w:val="24"/>
          <w:szCs w:val="24"/>
          <w:lang w:val="en-AE"/>
        </w:rPr>
        <w:t>The "Risk-First" Revolution</w:t>
      </w:r>
    </w:p>
    <w:p w14:paraId="54C5141C"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lastRenderedPageBreak/>
        <w:t>While Wall Street often chases the highest returns, private credit's most successful managers have flipped the script entirely. </w:t>
      </w:r>
      <w:r w:rsidRPr="001D211F">
        <w:rPr>
          <w:rFonts w:asciiTheme="majorBidi" w:hAnsiTheme="majorBidi" w:cstheme="majorBidi"/>
          <w:b/>
          <w:bCs/>
          <w:sz w:val="22"/>
          <w:lang w:val="en-AE"/>
        </w:rPr>
        <w:t>Risk control trumps return generation</w:t>
      </w:r>
      <w:r w:rsidRPr="001D211F">
        <w:rPr>
          <w:rFonts w:asciiTheme="majorBidi" w:hAnsiTheme="majorBidi" w:cstheme="majorBidi"/>
          <w:sz w:val="22"/>
          <w:lang w:val="en-AE"/>
        </w:rPr>
        <w:t>, every time. This isn't just philosophy—it's their secret weapon.</w:t>
      </w:r>
    </w:p>
    <w:p w14:paraId="27A14D9D"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Take Oaktree's approach: they've built their entire empire on the principle that "if we avoid the losers, the winners will take care of themselves." This translates into senior-secured positions with bulletproof collateral, robust covenants that act as early warning systems, and deep fundamental analysis that goes beyond surface-level metrics.</w:t>
      </w:r>
    </w:p>
    <w:p w14:paraId="722B58E6"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The result? While others chase yield, these managers sleep soundly knowing their downside is protected.</w:t>
      </w:r>
    </w:p>
    <w:p w14:paraId="4C73898F" w14:textId="77777777" w:rsidR="006E3302" w:rsidRDefault="006E3302" w:rsidP="001D211F">
      <w:pPr>
        <w:rPr>
          <w:rFonts w:asciiTheme="majorBidi" w:hAnsiTheme="majorBidi" w:cstheme="majorBidi"/>
          <w:b/>
          <w:bCs/>
          <w:sz w:val="24"/>
          <w:szCs w:val="24"/>
          <w:lang w:val="en-AE"/>
        </w:rPr>
      </w:pPr>
    </w:p>
    <w:p w14:paraId="03FE59BB" w14:textId="1ECD7E50" w:rsidR="001D211F" w:rsidRPr="001D211F" w:rsidRDefault="001D211F" w:rsidP="001D211F">
      <w:pPr>
        <w:rPr>
          <w:rFonts w:asciiTheme="majorBidi" w:hAnsiTheme="majorBidi" w:cstheme="majorBidi"/>
          <w:b/>
          <w:bCs/>
          <w:sz w:val="24"/>
          <w:szCs w:val="24"/>
          <w:lang w:val="en-AE"/>
        </w:rPr>
      </w:pPr>
      <w:r w:rsidRPr="001D211F">
        <w:rPr>
          <w:rFonts w:asciiTheme="majorBidi" w:hAnsiTheme="majorBidi" w:cstheme="majorBidi"/>
          <w:b/>
          <w:bCs/>
          <w:sz w:val="24"/>
          <w:szCs w:val="24"/>
          <w:lang w:val="en-AE"/>
        </w:rPr>
        <w:t>The Deal Flow Advantage</w:t>
      </w:r>
    </w:p>
    <w:p w14:paraId="4FC51D3F"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b/>
          <w:bCs/>
          <w:sz w:val="22"/>
          <w:lang w:val="en-AE"/>
        </w:rPr>
        <w:t>Superior origination is the ultimate competitive moat</w:t>
      </w:r>
      <w:r w:rsidRPr="001D211F">
        <w:rPr>
          <w:rFonts w:asciiTheme="majorBidi" w:hAnsiTheme="majorBidi" w:cstheme="majorBidi"/>
          <w:sz w:val="22"/>
          <w:lang w:val="en-AE"/>
        </w:rPr>
        <w:t>. The best managers don't wait for deals to come to them—they've built proprietary pipelines that create exclusive access to premium opportunities.</w:t>
      </w:r>
    </w:p>
    <w:p w14:paraId="57FFCA35"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Apollo's ecosystem approach exemplifies this mastery, leveraging insurance partnerships and diverse origination platforms to access deals others never see. Meanwhile, Golub Capital's 30-year track record stems from deep sponsor relationships that generate consistent, high-quality deal flow.</w:t>
      </w:r>
    </w:p>
    <w:p w14:paraId="0AFD48AC"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This isn't about having the biggest team—it's about having the right relationships in the right places.</w:t>
      </w:r>
    </w:p>
    <w:p w14:paraId="0BFDB320" w14:textId="77777777" w:rsidR="006E3302" w:rsidRDefault="006E3302" w:rsidP="001D211F">
      <w:pPr>
        <w:rPr>
          <w:rFonts w:asciiTheme="majorBidi" w:hAnsiTheme="majorBidi" w:cstheme="majorBidi"/>
          <w:b/>
          <w:bCs/>
          <w:sz w:val="22"/>
          <w:lang w:val="en-AE"/>
        </w:rPr>
      </w:pPr>
    </w:p>
    <w:p w14:paraId="31D993CD" w14:textId="022CCE94" w:rsidR="001D211F" w:rsidRPr="001D211F" w:rsidRDefault="001D211F" w:rsidP="001D211F">
      <w:pPr>
        <w:rPr>
          <w:rFonts w:asciiTheme="majorBidi" w:hAnsiTheme="majorBidi" w:cstheme="majorBidi"/>
          <w:b/>
          <w:bCs/>
          <w:sz w:val="22"/>
          <w:lang w:val="en-AE"/>
        </w:rPr>
      </w:pPr>
      <w:r w:rsidRPr="001D211F">
        <w:rPr>
          <w:rFonts w:asciiTheme="majorBidi" w:hAnsiTheme="majorBidi" w:cstheme="majorBidi"/>
          <w:b/>
          <w:bCs/>
          <w:sz w:val="22"/>
          <w:lang w:val="en-AE"/>
        </w:rPr>
        <w:t>The Consistency Code</w:t>
      </w:r>
    </w:p>
    <w:p w14:paraId="0307E47C"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What truly distinguishes elite managers is their ability to deliver </w:t>
      </w:r>
      <w:r w:rsidRPr="001D211F">
        <w:rPr>
          <w:rFonts w:asciiTheme="majorBidi" w:hAnsiTheme="majorBidi" w:cstheme="majorBidi"/>
          <w:b/>
          <w:bCs/>
          <w:sz w:val="22"/>
          <w:lang w:val="en-AE"/>
        </w:rPr>
        <w:t>steady performance regardless of market conditions</w:t>
      </w:r>
      <w:r w:rsidRPr="001D211F">
        <w:rPr>
          <w:rFonts w:asciiTheme="majorBidi" w:hAnsiTheme="majorBidi" w:cstheme="majorBidi"/>
          <w:sz w:val="22"/>
          <w:lang w:val="en-AE"/>
        </w:rPr>
        <w:t>. This consistency comes from disciplined underwriting that doesn't bend to market pressures, active portfolio management that catches problems early, and a long-term perspective that prioritizes sustainable returns over quarterly wins.</w:t>
      </w:r>
    </w:p>
    <w:p w14:paraId="60D527AF"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Golub Capital's achievement of zero new payment defaults in 2023 didn't happen by accident—it's the result of systematic discipline applied consistently over decades.</w:t>
      </w:r>
    </w:p>
    <w:p w14:paraId="3FF05655" w14:textId="77777777" w:rsidR="006E3302" w:rsidRDefault="006E3302" w:rsidP="001D211F">
      <w:pPr>
        <w:rPr>
          <w:rFonts w:asciiTheme="majorBidi" w:hAnsiTheme="majorBidi" w:cstheme="majorBidi"/>
          <w:b/>
          <w:bCs/>
          <w:sz w:val="24"/>
          <w:szCs w:val="24"/>
          <w:lang w:val="en-AE"/>
        </w:rPr>
      </w:pPr>
    </w:p>
    <w:p w14:paraId="6C605F15" w14:textId="2A5953CB" w:rsidR="001D211F" w:rsidRPr="001D211F" w:rsidRDefault="001D211F" w:rsidP="001D211F">
      <w:pPr>
        <w:rPr>
          <w:rFonts w:asciiTheme="majorBidi" w:hAnsiTheme="majorBidi" w:cstheme="majorBidi"/>
          <w:b/>
          <w:bCs/>
          <w:sz w:val="24"/>
          <w:szCs w:val="24"/>
          <w:lang w:val="en-AE"/>
        </w:rPr>
      </w:pPr>
      <w:r w:rsidRPr="001D211F">
        <w:rPr>
          <w:rFonts w:asciiTheme="majorBidi" w:hAnsiTheme="majorBidi" w:cstheme="majorBidi"/>
          <w:b/>
          <w:bCs/>
          <w:sz w:val="24"/>
          <w:szCs w:val="24"/>
          <w:lang w:val="en-AE"/>
        </w:rPr>
        <w:t>The Innovation Imperative</w:t>
      </w:r>
    </w:p>
    <w:p w14:paraId="482C98CC"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Today's leaders aren't just protecting their position—they're actively reshaping the industry. </w:t>
      </w:r>
      <w:r w:rsidRPr="001D211F">
        <w:rPr>
          <w:rFonts w:asciiTheme="majorBidi" w:hAnsiTheme="majorBidi" w:cstheme="majorBidi"/>
          <w:b/>
          <w:bCs/>
          <w:sz w:val="22"/>
          <w:lang w:val="en-AE"/>
        </w:rPr>
        <w:t>AI and machine learning</w:t>
      </w:r>
      <w:r w:rsidRPr="001D211F">
        <w:rPr>
          <w:rFonts w:asciiTheme="majorBidi" w:hAnsiTheme="majorBidi" w:cstheme="majorBidi"/>
          <w:sz w:val="22"/>
          <w:lang w:val="en-AE"/>
        </w:rPr>
        <w:t> are revolutionizing credit analysis, while product diversification into asset-based finance and specialty lending is opening new growth avenues.</w:t>
      </w:r>
    </w:p>
    <w:p w14:paraId="71EEA0CC"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The winners are those embracing strategic partnerships with banks and insurers, creating synergies that traditional credit managers can't match.</w:t>
      </w:r>
    </w:p>
    <w:p w14:paraId="221F6B05" w14:textId="77777777" w:rsidR="006E3302" w:rsidRDefault="006E3302" w:rsidP="001D211F">
      <w:pPr>
        <w:rPr>
          <w:rFonts w:asciiTheme="majorBidi" w:hAnsiTheme="majorBidi" w:cstheme="majorBidi"/>
          <w:b/>
          <w:bCs/>
          <w:sz w:val="24"/>
          <w:szCs w:val="24"/>
          <w:lang w:val="en-AE"/>
        </w:rPr>
      </w:pPr>
    </w:p>
    <w:p w14:paraId="6A9BB861" w14:textId="33C8317E" w:rsidR="001D211F" w:rsidRPr="001D211F" w:rsidRDefault="001D211F" w:rsidP="001D211F">
      <w:pPr>
        <w:rPr>
          <w:rFonts w:asciiTheme="majorBidi" w:hAnsiTheme="majorBidi" w:cstheme="majorBidi"/>
          <w:b/>
          <w:bCs/>
          <w:sz w:val="24"/>
          <w:szCs w:val="24"/>
          <w:lang w:val="en-AE"/>
        </w:rPr>
      </w:pPr>
      <w:r w:rsidRPr="001D211F">
        <w:rPr>
          <w:rFonts w:asciiTheme="majorBidi" w:hAnsiTheme="majorBidi" w:cstheme="majorBidi"/>
          <w:b/>
          <w:bCs/>
          <w:sz w:val="24"/>
          <w:szCs w:val="24"/>
          <w:lang w:val="en-AE"/>
        </w:rPr>
        <w:t>The Storm Ahead</w:t>
      </w:r>
    </w:p>
    <w:p w14:paraId="72FD4E42"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But success breeds challenges. </w:t>
      </w:r>
      <w:r w:rsidRPr="001D211F">
        <w:rPr>
          <w:rFonts w:asciiTheme="majorBidi" w:hAnsiTheme="majorBidi" w:cstheme="majorBidi"/>
          <w:b/>
          <w:bCs/>
          <w:sz w:val="22"/>
          <w:lang w:val="en-AE"/>
        </w:rPr>
        <w:t>Regulatory scrutiny</w:t>
      </w:r>
      <w:r w:rsidRPr="001D211F">
        <w:rPr>
          <w:rFonts w:asciiTheme="majorBidi" w:hAnsiTheme="majorBidi" w:cstheme="majorBidi"/>
          <w:sz w:val="22"/>
          <w:lang w:val="en-AE"/>
        </w:rPr>
        <w:t> is intensifying with AIFMD II implementation in 2026, while traditional banks are fighting back with their own private credit capabilities. Interest rate normalization threatens to erode yield advantages, and market saturation is compressing returns.</w:t>
      </w:r>
    </w:p>
    <w:p w14:paraId="7AB01ED4"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t>The next generation of private credit leaders will need to navigate these headwinds while maintaining the core principles that built the industry. Those who can balance innovation with discipline, scale with culture, and technology with human insight will write the next chapter of this remarkable story.</w:t>
      </w:r>
    </w:p>
    <w:p w14:paraId="519B97BC" w14:textId="77777777" w:rsidR="001D211F" w:rsidRPr="001D211F" w:rsidRDefault="001D211F" w:rsidP="001D211F">
      <w:pPr>
        <w:rPr>
          <w:rFonts w:asciiTheme="majorBidi" w:hAnsiTheme="majorBidi" w:cstheme="majorBidi"/>
          <w:sz w:val="22"/>
          <w:lang w:val="en-AE"/>
        </w:rPr>
      </w:pPr>
      <w:r w:rsidRPr="001D211F">
        <w:rPr>
          <w:rFonts w:asciiTheme="majorBidi" w:hAnsiTheme="majorBidi" w:cstheme="majorBidi"/>
          <w:sz w:val="22"/>
          <w:lang w:val="en-AE"/>
        </w:rPr>
        <w:lastRenderedPageBreak/>
        <w:t>The $2 trillion private credit market isn't just a financial achievement—it's proof that exceptional leadership can create entirely new markets. As the industry evolves, the lessons from today's titans will guide tomorrow's architects of capital.</w:t>
      </w:r>
    </w:p>
    <w:p w14:paraId="5918F6B7" w14:textId="77777777" w:rsidR="001D211F" w:rsidRPr="001D211F" w:rsidRDefault="001D211F" w:rsidP="001D211F">
      <w:pPr>
        <w:rPr>
          <w:rFonts w:asciiTheme="majorBidi" w:hAnsiTheme="majorBidi" w:cstheme="majorBidi"/>
          <w:sz w:val="22"/>
        </w:rPr>
      </w:pPr>
      <w:r w:rsidRPr="001D211F">
        <w:rPr>
          <w:rFonts w:asciiTheme="majorBidi" w:hAnsiTheme="majorBidi" w:cstheme="majorBidi"/>
          <w:sz w:val="22"/>
        </w:rPr>
        <w:t xml:space="preserve"> </w:t>
      </w:r>
    </w:p>
    <w:p w14:paraId="380C1C72" w14:textId="080C5861" w:rsidR="005C5418" w:rsidRPr="001D211F" w:rsidRDefault="005C5418" w:rsidP="001D211F">
      <w:pPr>
        <w:rPr>
          <w:rFonts w:asciiTheme="majorBidi" w:hAnsiTheme="majorBidi" w:cstheme="majorBidi"/>
          <w:sz w:val="22"/>
        </w:rPr>
      </w:pPr>
    </w:p>
    <w:sectPr w:rsidR="005C5418" w:rsidRPr="001D211F">
      <w:pgSz w:w="12240" w:h="15840"/>
      <w:pgMar w:top="1365" w:right="1365" w:bottom="1365" w:left="13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C3DBA"/>
    <w:multiLevelType w:val="hybridMultilevel"/>
    <w:tmpl w:val="AC62C478"/>
    <w:lvl w:ilvl="0" w:tplc="E4B46AE6">
      <w:start w:val="1"/>
      <w:numFmt w:val="bullet"/>
      <w:lvlText w:val=""/>
      <w:lvlJc w:val="left"/>
      <w:pPr>
        <w:tabs>
          <w:tab w:val="num" w:pos="900"/>
        </w:tabs>
        <w:ind w:left="540" w:hanging="360"/>
      </w:pPr>
      <w:rPr>
        <w:rFonts w:ascii="Symbol" w:hAnsi="Symbol" w:hint="default"/>
      </w:rPr>
    </w:lvl>
    <w:lvl w:ilvl="1" w:tplc="5860CE2E">
      <w:numFmt w:val="decimal"/>
      <w:lvlText w:val=""/>
      <w:lvlJc w:val="left"/>
    </w:lvl>
    <w:lvl w:ilvl="2" w:tplc="31E6BA0C">
      <w:numFmt w:val="decimal"/>
      <w:lvlText w:val=""/>
      <w:lvlJc w:val="left"/>
    </w:lvl>
    <w:lvl w:ilvl="3" w:tplc="EE32AFFE">
      <w:numFmt w:val="decimal"/>
      <w:lvlText w:val=""/>
      <w:lvlJc w:val="left"/>
    </w:lvl>
    <w:lvl w:ilvl="4" w:tplc="1876E66A">
      <w:numFmt w:val="decimal"/>
      <w:lvlText w:val=""/>
      <w:lvlJc w:val="left"/>
    </w:lvl>
    <w:lvl w:ilvl="5" w:tplc="F708B1AC">
      <w:numFmt w:val="decimal"/>
      <w:lvlText w:val=""/>
      <w:lvlJc w:val="left"/>
    </w:lvl>
    <w:lvl w:ilvl="6" w:tplc="ABD20194">
      <w:numFmt w:val="decimal"/>
      <w:lvlText w:val=""/>
      <w:lvlJc w:val="left"/>
    </w:lvl>
    <w:lvl w:ilvl="7" w:tplc="C2B04D44">
      <w:numFmt w:val="decimal"/>
      <w:lvlText w:val=""/>
      <w:lvlJc w:val="left"/>
    </w:lvl>
    <w:lvl w:ilvl="8" w:tplc="B28C1806">
      <w:numFmt w:val="decimal"/>
      <w:lvlText w:val=""/>
      <w:lvlJc w:val="left"/>
    </w:lvl>
  </w:abstractNum>
  <w:abstractNum w:abstractNumId="1" w15:restartNumberingAfterBreak="0">
    <w:nsid w:val="4BB05F21"/>
    <w:multiLevelType w:val="hybridMultilevel"/>
    <w:tmpl w:val="68944FCE"/>
    <w:lvl w:ilvl="0" w:tplc="E9E800D4">
      <w:start w:val="1"/>
      <w:numFmt w:val="bullet"/>
      <w:lvlText w:val=""/>
      <w:lvlJc w:val="left"/>
      <w:pPr>
        <w:tabs>
          <w:tab w:val="num" w:pos="900"/>
        </w:tabs>
        <w:ind w:left="540" w:hanging="360"/>
      </w:pPr>
      <w:rPr>
        <w:rFonts w:ascii="Symbol" w:hAnsi="Symbol" w:hint="default"/>
      </w:rPr>
    </w:lvl>
    <w:lvl w:ilvl="1" w:tplc="1B329A6C">
      <w:numFmt w:val="decimal"/>
      <w:lvlText w:val=""/>
      <w:lvlJc w:val="left"/>
    </w:lvl>
    <w:lvl w:ilvl="2" w:tplc="C3203938">
      <w:numFmt w:val="decimal"/>
      <w:lvlText w:val=""/>
      <w:lvlJc w:val="left"/>
    </w:lvl>
    <w:lvl w:ilvl="3" w:tplc="AB4E4ABA">
      <w:numFmt w:val="decimal"/>
      <w:lvlText w:val=""/>
      <w:lvlJc w:val="left"/>
    </w:lvl>
    <w:lvl w:ilvl="4" w:tplc="48509A2A">
      <w:numFmt w:val="decimal"/>
      <w:lvlText w:val=""/>
      <w:lvlJc w:val="left"/>
    </w:lvl>
    <w:lvl w:ilvl="5" w:tplc="E446E912">
      <w:numFmt w:val="decimal"/>
      <w:lvlText w:val=""/>
      <w:lvlJc w:val="left"/>
    </w:lvl>
    <w:lvl w:ilvl="6" w:tplc="F5D6C300">
      <w:numFmt w:val="decimal"/>
      <w:lvlText w:val=""/>
      <w:lvlJc w:val="left"/>
    </w:lvl>
    <w:lvl w:ilvl="7" w:tplc="47D6431A">
      <w:numFmt w:val="decimal"/>
      <w:lvlText w:val=""/>
      <w:lvlJc w:val="left"/>
    </w:lvl>
    <w:lvl w:ilvl="8" w:tplc="BED477EE">
      <w:numFmt w:val="decimal"/>
      <w:lvlText w:val=""/>
      <w:lvlJc w:val="left"/>
    </w:lvl>
  </w:abstractNum>
  <w:abstractNum w:abstractNumId="2" w15:restartNumberingAfterBreak="0">
    <w:nsid w:val="533027B3"/>
    <w:multiLevelType w:val="hybridMultilevel"/>
    <w:tmpl w:val="4E1877BE"/>
    <w:lvl w:ilvl="0" w:tplc="3404EC0A">
      <w:numFmt w:val="decimal"/>
      <w:lvlText w:val=""/>
      <w:lvlJc w:val="left"/>
    </w:lvl>
    <w:lvl w:ilvl="1" w:tplc="BEB6DD20">
      <w:numFmt w:val="decimal"/>
      <w:lvlText w:val=""/>
      <w:lvlJc w:val="left"/>
    </w:lvl>
    <w:lvl w:ilvl="2" w:tplc="A7A01BC8">
      <w:numFmt w:val="decimal"/>
      <w:lvlText w:val=""/>
      <w:lvlJc w:val="left"/>
    </w:lvl>
    <w:lvl w:ilvl="3" w:tplc="48A080D6">
      <w:numFmt w:val="decimal"/>
      <w:lvlText w:val=""/>
      <w:lvlJc w:val="left"/>
    </w:lvl>
    <w:lvl w:ilvl="4" w:tplc="F6BAC6DE">
      <w:numFmt w:val="decimal"/>
      <w:lvlText w:val=""/>
      <w:lvlJc w:val="left"/>
    </w:lvl>
    <w:lvl w:ilvl="5" w:tplc="AF34D958">
      <w:numFmt w:val="decimal"/>
      <w:lvlText w:val=""/>
      <w:lvlJc w:val="left"/>
    </w:lvl>
    <w:lvl w:ilvl="6" w:tplc="B0345FA6">
      <w:numFmt w:val="decimal"/>
      <w:lvlText w:val=""/>
      <w:lvlJc w:val="left"/>
    </w:lvl>
    <w:lvl w:ilvl="7" w:tplc="C1C2D560">
      <w:numFmt w:val="decimal"/>
      <w:lvlText w:val=""/>
      <w:lvlJc w:val="left"/>
    </w:lvl>
    <w:lvl w:ilvl="8" w:tplc="7CEE46A0">
      <w:numFmt w:val="decimal"/>
      <w:lvlText w:val=""/>
      <w:lvlJc w:val="left"/>
    </w:lvl>
  </w:abstractNum>
  <w:abstractNum w:abstractNumId="3" w15:restartNumberingAfterBreak="0">
    <w:nsid w:val="641F4229"/>
    <w:multiLevelType w:val="hybridMultilevel"/>
    <w:tmpl w:val="B606ACD2"/>
    <w:lvl w:ilvl="0" w:tplc="76040B18">
      <w:start w:val="1"/>
      <w:numFmt w:val="bullet"/>
      <w:lvlText w:val=""/>
      <w:lvlJc w:val="left"/>
      <w:pPr>
        <w:tabs>
          <w:tab w:val="num" w:pos="900"/>
        </w:tabs>
        <w:ind w:left="540" w:hanging="360"/>
      </w:pPr>
      <w:rPr>
        <w:rFonts w:ascii="Symbol" w:hAnsi="Symbol" w:hint="default"/>
      </w:rPr>
    </w:lvl>
    <w:lvl w:ilvl="1" w:tplc="D7542F1E">
      <w:numFmt w:val="decimal"/>
      <w:lvlText w:val=""/>
      <w:lvlJc w:val="left"/>
    </w:lvl>
    <w:lvl w:ilvl="2" w:tplc="EBE8AF6A">
      <w:numFmt w:val="decimal"/>
      <w:lvlText w:val=""/>
      <w:lvlJc w:val="left"/>
    </w:lvl>
    <w:lvl w:ilvl="3" w:tplc="1EEA5240">
      <w:numFmt w:val="decimal"/>
      <w:lvlText w:val=""/>
      <w:lvlJc w:val="left"/>
    </w:lvl>
    <w:lvl w:ilvl="4" w:tplc="D5ACCD22">
      <w:numFmt w:val="decimal"/>
      <w:lvlText w:val=""/>
      <w:lvlJc w:val="left"/>
    </w:lvl>
    <w:lvl w:ilvl="5" w:tplc="41582842">
      <w:numFmt w:val="decimal"/>
      <w:lvlText w:val=""/>
      <w:lvlJc w:val="left"/>
    </w:lvl>
    <w:lvl w:ilvl="6" w:tplc="B8E25E48">
      <w:numFmt w:val="decimal"/>
      <w:lvlText w:val=""/>
      <w:lvlJc w:val="left"/>
    </w:lvl>
    <w:lvl w:ilvl="7" w:tplc="7BE43C42">
      <w:numFmt w:val="decimal"/>
      <w:lvlText w:val=""/>
      <w:lvlJc w:val="left"/>
    </w:lvl>
    <w:lvl w:ilvl="8" w:tplc="3156F952">
      <w:numFmt w:val="decimal"/>
      <w:lvlText w:val=""/>
      <w:lvlJc w:val="left"/>
    </w:lvl>
  </w:abstractNum>
  <w:abstractNum w:abstractNumId="4" w15:restartNumberingAfterBreak="0">
    <w:nsid w:val="67962DD4"/>
    <w:multiLevelType w:val="hybridMultilevel"/>
    <w:tmpl w:val="93D4B9A8"/>
    <w:lvl w:ilvl="0" w:tplc="D590748E">
      <w:start w:val="1"/>
      <w:numFmt w:val="decimal"/>
      <w:lvlText w:val="%1."/>
      <w:lvlJc w:val="left"/>
      <w:pPr>
        <w:tabs>
          <w:tab w:val="num" w:pos="900"/>
        </w:tabs>
        <w:ind w:left="540" w:hanging="360"/>
      </w:pPr>
    </w:lvl>
    <w:lvl w:ilvl="1" w:tplc="CF0C87E4">
      <w:numFmt w:val="decimal"/>
      <w:lvlText w:val=""/>
      <w:lvlJc w:val="left"/>
    </w:lvl>
    <w:lvl w:ilvl="2" w:tplc="D5C47360">
      <w:numFmt w:val="decimal"/>
      <w:lvlText w:val=""/>
      <w:lvlJc w:val="left"/>
    </w:lvl>
    <w:lvl w:ilvl="3" w:tplc="BF28EEF2">
      <w:numFmt w:val="decimal"/>
      <w:lvlText w:val=""/>
      <w:lvlJc w:val="left"/>
    </w:lvl>
    <w:lvl w:ilvl="4" w:tplc="7DC21746">
      <w:numFmt w:val="decimal"/>
      <w:lvlText w:val=""/>
      <w:lvlJc w:val="left"/>
    </w:lvl>
    <w:lvl w:ilvl="5" w:tplc="28CC9C3A">
      <w:numFmt w:val="decimal"/>
      <w:lvlText w:val=""/>
      <w:lvlJc w:val="left"/>
    </w:lvl>
    <w:lvl w:ilvl="6" w:tplc="DE78233A">
      <w:numFmt w:val="decimal"/>
      <w:lvlText w:val=""/>
      <w:lvlJc w:val="left"/>
    </w:lvl>
    <w:lvl w:ilvl="7" w:tplc="BC8A6A54">
      <w:numFmt w:val="decimal"/>
      <w:lvlText w:val=""/>
      <w:lvlJc w:val="left"/>
    </w:lvl>
    <w:lvl w:ilvl="8" w:tplc="7D94143A">
      <w:numFmt w:val="decimal"/>
      <w:lvlText w:val=""/>
      <w:lvlJc w:val="left"/>
    </w:lvl>
  </w:abstractNum>
  <w:abstractNum w:abstractNumId="5" w15:restartNumberingAfterBreak="0">
    <w:nsid w:val="6B527AE2"/>
    <w:multiLevelType w:val="hybridMultilevel"/>
    <w:tmpl w:val="F350FFF8"/>
    <w:lvl w:ilvl="0" w:tplc="5B80C0B0">
      <w:start w:val="1"/>
      <w:numFmt w:val="bullet"/>
      <w:lvlText w:val=""/>
      <w:lvlJc w:val="left"/>
      <w:pPr>
        <w:tabs>
          <w:tab w:val="num" w:pos="900"/>
        </w:tabs>
        <w:ind w:left="540" w:hanging="360"/>
      </w:pPr>
      <w:rPr>
        <w:rFonts w:ascii="Symbol" w:hAnsi="Symbol" w:hint="default"/>
      </w:rPr>
    </w:lvl>
    <w:lvl w:ilvl="1" w:tplc="9F38AF96">
      <w:numFmt w:val="decimal"/>
      <w:lvlText w:val=""/>
      <w:lvlJc w:val="left"/>
    </w:lvl>
    <w:lvl w:ilvl="2" w:tplc="B60A2DC4">
      <w:numFmt w:val="decimal"/>
      <w:lvlText w:val=""/>
      <w:lvlJc w:val="left"/>
    </w:lvl>
    <w:lvl w:ilvl="3" w:tplc="09B4A48C">
      <w:numFmt w:val="decimal"/>
      <w:lvlText w:val=""/>
      <w:lvlJc w:val="left"/>
    </w:lvl>
    <w:lvl w:ilvl="4" w:tplc="18ACF848">
      <w:numFmt w:val="decimal"/>
      <w:lvlText w:val=""/>
      <w:lvlJc w:val="left"/>
    </w:lvl>
    <w:lvl w:ilvl="5" w:tplc="859646F2">
      <w:numFmt w:val="decimal"/>
      <w:lvlText w:val=""/>
      <w:lvlJc w:val="left"/>
    </w:lvl>
    <w:lvl w:ilvl="6" w:tplc="1608AD5E">
      <w:numFmt w:val="decimal"/>
      <w:lvlText w:val=""/>
      <w:lvlJc w:val="left"/>
    </w:lvl>
    <w:lvl w:ilvl="7" w:tplc="9B9669FE">
      <w:numFmt w:val="decimal"/>
      <w:lvlText w:val=""/>
      <w:lvlJc w:val="left"/>
    </w:lvl>
    <w:lvl w:ilvl="8" w:tplc="B3BCC1FC">
      <w:numFmt w:val="decimal"/>
      <w:lvlText w:val=""/>
      <w:lvlJc w:val="left"/>
    </w:lvl>
  </w:abstractNum>
  <w:abstractNum w:abstractNumId="6" w15:restartNumberingAfterBreak="0">
    <w:nsid w:val="784E0C13"/>
    <w:multiLevelType w:val="hybridMultilevel"/>
    <w:tmpl w:val="A8821592"/>
    <w:lvl w:ilvl="0" w:tplc="DBF4E414">
      <w:start w:val="1"/>
      <w:numFmt w:val="bullet"/>
      <w:lvlText w:val=""/>
      <w:lvlJc w:val="left"/>
      <w:pPr>
        <w:tabs>
          <w:tab w:val="num" w:pos="900"/>
        </w:tabs>
        <w:ind w:left="540" w:hanging="360"/>
      </w:pPr>
      <w:rPr>
        <w:rFonts w:ascii="Symbol" w:hAnsi="Symbol" w:hint="default"/>
      </w:rPr>
    </w:lvl>
    <w:lvl w:ilvl="1" w:tplc="787A561E">
      <w:numFmt w:val="decimal"/>
      <w:lvlText w:val=""/>
      <w:lvlJc w:val="left"/>
    </w:lvl>
    <w:lvl w:ilvl="2" w:tplc="1F1A8B1C">
      <w:numFmt w:val="decimal"/>
      <w:lvlText w:val=""/>
      <w:lvlJc w:val="left"/>
    </w:lvl>
    <w:lvl w:ilvl="3" w:tplc="335CB28C">
      <w:numFmt w:val="decimal"/>
      <w:lvlText w:val=""/>
      <w:lvlJc w:val="left"/>
    </w:lvl>
    <w:lvl w:ilvl="4" w:tplc="50449C6C">
      <w:numFmt w:val="decimal"/>
      <w:lvlText w:val=""/>
      <w:lvlJc w:val="left"/>
    </w:lvl>
    <w:lvl w:ilvl="5" w:tplc="639028A4">
      <w:numFmt w:val="decimal"/>
      <w:lvlText w:val=""/>
      <w:lvlJc w:val="left"/>
    </w:lvl>
    <w:lvl w:ilvl="6" w:tplc="A3602BF4">
      <w:numFmt w:val="decimal"/>
      <w:lvlText w:val=""/>
      <w:lvlJc w:val="left"/>
    </w:lvl>
    <w:lvl w:ilvl="7" w:tplc="872AFCFA">
      <w:numFmt w:val="decimal"/>
      <w:lvlText w:val=""/>
      <w:lvlJc w:val="left"/>
    </w:lvl>
    <w:lvl w:ilvl="8" w:tplc="B73AB2A6">
      <w:numFmt w:val="decimal"/>
      <w:lvlText w:val=""/>
      <w:lvlJc w:val="left"/>
    </w:lvl>
  </w:abstractNum>
  <w:abstractNum w:abstractNumId="7" w15:restartNumberingAfterBreak="0">
    <w:nsid w:val="7A783252"/>
    <w:multiLevelType w:val="hybridMultilevel"/>
    <w:tmpl w:val="3F4EF828"/>
    <w:lvl w:ilvl="0" w:tplc="A32A0BEC">
      <w:start w:val="1"/>
      <w:numFmt w:val="bullet"/>
      <w:lvlText w:val=""/>
      <w:lvlJc w:val="left"/>
      <w:pPr>
        <w:tabs>
          <w:tab w:val="num" w:pos="900"/>
        </w:tabs>
        <w:ind w:left="540" w:hanging="360"/>
      </w:pPr>
      <w:rPr>
        <w:rFonts w:ascii="Symbol" w:hAnsi="Symbol" w:hint="default"/>
      </w:rPr>
    </w:lvl>
    <w:lvl w:ilvl="1" w:tplc="C19272B4">
      <w:numFmt w:val="decimal"/>
      <w:lvlText w:val=""/>
      <w:lvlJc w:val="left"/>
    </w:lvl>
    <w:lvl w:ilvl="2" w:tplc="06ECF236">
      <w:numFmt w:val="decimal"/>
      <w:lvlText w:val=""/>
      <w:lvlJc w:val="left"/>
    </w:lvl>
    <w:lvl w:ilvl="3" w:tplc="A1D4BA4E">
      <w:numFmt w:val="decimal"/>
      <w:lvlText w:val=""/>
      <w:lvlJc w:val="left"/>
    </w:lvl>
    <w:lvl w:ilvl="4" w:tplc="DAB60FA2">
      <w:numFmt w:val="decimal"/>
      <w:lvlText w:val=""/>
      <w:lvlJc w:val="left"/>
    </w:lvl>
    <w:lvl w:ilvl="5" w:tplc="033C9722">
      <w:numFmt w:val="decimal"/>
      <w:lvlText w:val=""/>
      <w:lvlJc w:val="left"/>
    </w:lvl>
    <w:lvl w:ilvl="6" w:tplc="6DD63BEC">
      <w:numFmt w:val="decimal"/>
      <w:lvlText w:val=""/>
      <w:lvlJc w:val="left"/>
    </w:lvl>
    <w:lvl w:ilvl="7" w:tplc="27069F24">
      <w:numFmt w:val="decimal"/>
      <w:lvlText w:val=""/>
      <w:lvlJc w:val="left"/>
    </w:lvl>
    <w:lvl w:ilvl="8" w:tplc="CD7EF5C8">
      <w:numFmt w:val="decimal"/>
      <w:lvlText w:val=""/>
      <w:lvlJc w:val="left"/>
    </w:lvl>
  </w:abstractNum>
  <w:num w:numId="1" w16cid:durableId="999504015">
    <w:abstractNumId w:val="5"/>
  </w:num>
  <w:num w:numId="2" w16cid:durableId="60714664">
    <w:abstractNumId w:val="7"/>
  </w:num>
  <w:num w:numId="3" w16cid:durableId="524976065">
    <w:abstractNumId w:val="6"/>
  </w:num>
  <w:num w:numId="4" w16cid:durableId="1462579631">
    <w:abstractNumId w:val="0"/>
  </w:num>
  <w:num w:numId="5" w16cid:durableId="217127929">
    <w:abstractNumId w:val="1"/>
  </w:num>
  <w:num w:numId="6" w16cid:durableId="129518296">
    <w:abstractNumId w:val="3"/>
  </w:num>
  <w:num w:numId="7" w16cid:durableId="1664475">
    <w:abstractNumId w:val="2"/>
  </w:num>
  <w:num w:numId="8" w16cid:durableId="9441185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418"/>
    <w:rsid w:val="001D211F"/>
    <w:rsid w:val="005C5418"/>
    <w:rsid w:val="006E3302"/>
    <w:rsid w:val="00E05CE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C2A1"/>
  <w15:docId w15:val="{F2687D3C-0C29-4B2D-B7EF-DF3CD0317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488352">
      <w:bodyDiv w:val="1"/>
      <w:marLeft w:val="0"/>
      <w:marRight w:val="0"/>
      <w:marTop w:val="0"/>
      <w:marBottom w:val="0"/>
      <w:divBdr>
        <w:top w:val="none" w:sz="0" w:space="0" w:color="auto"/>
        <w:left w:val="none" w:sz="0" w:space="0" w:color="auto"/>
        <w:bottom w:val="none" w:sz="0" w:space="0" w:color="auto"/>
        <w:right w:val="none" w:sz="0" w:space="0" w:color="auto"/>
      </w:divBdr>
    </w:div>
    <w:div w:id="1785728892">
      <w:bodyDiv w:val="1"/>
      <w:marLeft w:val="0"/>
      <w:marRight w:val="0"/>
      <w:marTop w:val="0"/>
      <w:marBottom w:val="0"/>
      <w:divBdr>
        <w:top w:val="none" w:sz="0" w:space="0" w:color="auto"/>
        <w:left w:val="none" w:sz="0" w:space="0" w:color="auto"/>
        <w:bottom w:val="none" w:sz="0" w:space="0" w:color="auto"/>
        <w:right w:val="none" w:sz="0" w:space="0" w:color="auto"/>
      </w:divBdr>
    </w:div>
    <w:div w:id="2147038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mustafa sinno</cp:lastModifiedBy>
  <cp:revision>2</cp:revision>
  <dcterms:created xsi:type="dcterms:W3CDTF">2025-07-17T04:43:00Z</dcterms:created>
  <dcterms:modified xsi:type="dcterms:W3CDTF">2025-07-17T04:43:00Z</dcterms:modified>
</cp:coreProperties>
</file>